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需求说明</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color w:val="auto"/>
                <w:sz w:val="30"/>
                <w:szCs w:val="30"/>
              </w:rPr>
            </w:pPr>
            <w:r>
              <w:rPr>
                <w:rFonts w:ascii="仿宋_GB2312" w:hAnsi="仿宋_GB2312" w:eastAsia="仿宋_GB2312" w:cs="仿宋_GB2312"/>
                <w:b w:val="0"/>
                <w:color w:val="auto"/>
                <w:sz w:val="30"/>
                <w:szCs w:val="30"/>
              </w:rPr>
              <w:t>项目名称</w:t>
            </w:r>
          </w:p>
        </w:tc>
        <w:tc>
          <w:tcPr>
            <w:tcW w:w="4079" w:type="pct"/>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机房超融合集群系统授权扩容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用途及主要功能</w:t>
            </w:r>
          </w:p>
        </w:tc>
        <w:tc>
          <w:tcPr>
            <w:tcW w:w="4079" w:type="pct"/>
          </w:tcPr>
          <w:p>
            <w:pPr>
              <w:numPr>
                <w:ilvl w:val="0"/>
                <w:numId w:val="1"/>
              </w:numPr>
              <w:spacing w:line="360" w:lineRule="auto"/>
              <w:ind w:firstLine="480"/>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主要用途</w:t>
            </w:r>
          </w:p>
          <w:p>
            <w:pPr>
              <w:numPr>
                <w:ilvl w:val="0"/>
                <w:numId w:val="0"/>
              </w:numPr>
              <w:spacing w:line="360" w:lineRule="auto"/>
              <w:ind w:firstLine="420" w:firstLineChars="200"/>
              <w:rPr>
                <w:rFonts w:hint="eastAsia" w:eastAsia="宋体"/>
                <w:color w:val="auto"/>
                <w:lang w:eastAsia="zh-CN"/>
              </w:rPr>
            </w:pPr>
            <w:r>
              <w:rPr>
                <w:rFonts w:hint="eastAsia" w:ascii="仿宋_GB2312" w:hAnsi="仿宋_GB2312" w:eastAsia="仿宋_GB2312" w:cs="仿宋_GB2312"/>
                <w:color w:val="auto"/>
                <w:szCs w:val="21"/>
                <w:lang w:val="en-US" w:eastAsia="zh-CN"/>
              </w:rPr>
              <w:t>根据国家下发的《国务院办公厅关于在政府采购中实施本国产品标准及相关政策的通知》、《数据库政府采购需求标准（2023年版）》及相关配套管理规定，为全面落实国家信息安全战略和医疗卫生行业信息化建设要求，全市各级各类医疗机构在新建、改建或升级核心业务信息系统时，必须严格遵循国家信息技术应用创新（信创）标准规范，优先选用进入国家信创目录且通过相关认证的信息技术产品和解决方案。然而，经过前期摸底排查发现，目前我院已使用基于国产化信息系统平台，该系统平台在核心技术、底层架构等方面均不支持国家信创标准要求。在当前全市统一部署开展的医疗卫生机构信息安全专项检查工作中，以及在年度医疗卫生机构信息化建设绩效考核评估指标体系中，信创产品的部署应用情况已被列为重点检查内容和关键考核指标，相关文件明确规定所有三级甲等医院必须在2027年底前完成核心业务系统的信创化改造，全面达到这一强制性技术要求，以切实保障医疗数据安全可控和信息系统自主可靠。</w:t>
            </w:r>
          </w:p>
          <w:p>
            <w:pPr>
              <w:spacing w:line="360" w:lineRule="auto"/>
              <w:ind w:firstLine="480"/>
              <w:rPr>
                <w:rFonts w:hint="eastAsia" w:eastAsia="宋体"/>
                <w:color w:val="auto"/>
                <w:lang w:eastAsia="zh-CN"/>
              </w:rPr>
            </w:pPr>
            <w:r>
              <w:rPr>
                <w:rFonts w:hint="eastAsia" w:ascii="仿宋_GB2312" w:hAnsi="仿宋_GB2312" w:eastAsia="仿宋_GB2312" w:cs="仿宋_GB2312"/>
                <w:color w:val="auto"/>
                <w:szCs w:val="21"/>
                <w:lang w:val="en-US" w:eastAsia="zh-CN"/>
              </w:rPr>
              <w:t>根据上述政策要求和医院信息化建设总体规划，我院决定启动核心业务系统信创化转型工程。针对当前正在使用的非信创化超融合软件平台，计划采取渐进式改造方案，具体实施内容包括：首先对原软件系统进行授权点数扩容升级，同步增加符合信创标准的授权节点；其次逐步替换原有非信创组件，最终实现平台整体的信创化转型。改造完成后的新一代超融合平台需要同时满足三方面核心需求：一是支撑医院数据中心全面云化转型的技术要求；二是实现关键软硬件设备的国产化替代目标；三是确保系统完全符合网络安全等级保护2.0标准的相关规定，为医院后续开展智慧医院建设、互联网医疗服务等创新应用提供安全稳定、自主可控的IT基础设施支撑。</w:t>
            </w:r>
          </w:p>
          <w:p>
            <w:pPr>
              <w:spacing w:line="360" w:lineRule="auto"/>
              <w:ind w:firstLine="480"/>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二、主要功能</w:t>
            </w:r>
          </w:p>
          <w:p>
            <w:pPr>
              <w:spacing w:line="360" w:lineRule="auto"/>
              <w:ind w:firstLine="48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超融合架构软件作为现代医疗机构信息化建设的重要基础平台，其核心价值在于通过软件定义的方式，将传统分散的计算资源、存储资源和网络资源进行深度整合与统一管理，形成一个高度集成的IT资源池。该平台提供包括分布式存储、服务器虚拟化、高可用集群、数据实时备份与快速恢复等在内的全方位功能模块，能够有效实现医院各类IT资源的智能化调度和弹性扩展。特别是在应对门诊高峰、急诊急救等特殊场景时，超融合平台可确保医疗信息系统7×24小时持续稳定运行，为患者提供不间断的优质医疗服务，同时满足医疗业务连续性管理和灾难恢复的严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bookmarkStart w:id="1" w:name="_GoBack"/>
            <w:bookmarkEnd w:id="1"/>
            <w:r>
              <w:rPr>
                <w:rFonts w:ascii="仿宋_GB2312" w:hAnsi="仿宋_GB2312" w:eastAsia="仿宋_GB2312" w:cs="仿宋_GB2312"/>
                <w:b w:val="0"/>
                <w:bCs/>
                <w:color w:val="auto"/>
                <w:sz w:val="30"/>
                <w:szCs w:val="30"/>
                <w:shd w:val="clear" w:color="auto" w:fill="FFFFFF"/>
              </w:rPr>
              <w:t>建设内容</w:t>
            </w:r>
          </w:p>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及功能技术要求</w:t>
            </w:r>
          </w:p>
        </w:tc>
        <w:tc>
          <w:tcPr>
            <w:tcW w:w="4079" w:type="pct"/>
          </w:tcPr>
          <w:p>
            <w:pPr>
              <w:spacing w:line="360" w:lineRule="auto"/>
              <w:ind w:firstLine="48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设备清单</w:t>
            </w:r>
          </w:p>
          <w:tbl>
            <w:tblPr>
              <w:tblStyle w:val="7"/>
              <w:tblW w:w="8499" w:type="dxa"/>
              <w:jc w:val="center"/>
              <w:tblLayout w:type="fixed"/>
              <w:tblCellMar>
                <w:top w:w="0" w:type="dxa"/>
                <w:left w:w="108" w:type="dxa"/>
                <w:bottom w:w="0" w:type="dxa"/>
                <w:right w:w="108" w:type="dxa"/>
              </w:tblCellMar>
            </w:tblPr>
            <w:tblGrid>
              <w:gridCol w:w="1251"/>
              <w:gridCol w:w="5225"/>
              <w:gridCol w:w="2023"/>
            </w:tblGrid>
            <w:tr>
              <w:tblPrEx>
                <w:tblCellMar>
                  <w:top w:w="0" w:type="dxa"/>
                  <w:left w:w="108" w:type="dxa"/>
                  <w:bottom w:w="0" w:type="dxa"/>
                  <w:right w:w="108" w:type="dxa"/>
                </w:tblCellMar>
              </w:tblPrEx>
              <w:trPr>
                <w:trHeight w:val="57" w:hRule="atLeast"/>
                <w:jc w:val="center"/>
              </w:trPr>
              <w:tc>
                <w:tcPr>
                  <w:tcW w:w="12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名称</w:t>
                  </w:r>
                </w:p>
              </w:tc>
              <w:tc>
                <w:tcPr>
                  <w:tcW w:w="5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配置描述</w:t>
                  </w:r>
                </w:p>
              </w:tc>
              <w:tc>
                <w:tcPr>
                  <w:tcW w:w="20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数量/套</w:t>
                  </w:r>
                </w:p>
              </w:tc>
            </w:tr>
            <w:tr>
              <w:tblPrEx>
                <w:tblCellMar>
                  <w:top w:w="0" w:type="dxa"/>
                  <w:left w:w="108" w:type="dxa"/>
                  <w:bottom w:w="0" w:type="dxa"/>
                  <w:right w:w="108" w:type="dxa"/>
                </w:tblCellMar>
              </w:tblPrEx>
              <w:trPr>
                <w:trHeight w:val="521" w:hRule="atLeast"/>
                <w:jc w:val="center"/>
              </w:trPr>
              <w:tc>
                <w:tcPr>
                  <w:tcW w:w="12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超融合</w:t>
                  </w:r>
                  <w:r>
                    <w:rPr>
                      <w:rFonts w:hint="eastAsia" w:ascii="仿宋" w:hAnsi="仿宋" w:eastAsia="仿宋"/>
                      <w:b/>
                      <w:bCs/>
                      <w:color w:val="auto"/>
                      <w:kern w:val="0"/>
                      <w:szCs w:val="21"/>
                      <w:lang w:bidi="ar"/>
                    </w:rPr>
                    <w:br w:type="textWrapping"/>
                  </w:r>
                  <w:r>
                    <w:rPr>
                      <w:rFonts w:hint="eastAsia" w:ascii="仿宋" w:hAnsi="仿宋" w:eastAsia="仿宋"/>
                      <w:b/>
                      <w:bCs/>
                      <w:color w:val="auto"/>
                      <w:kern w:val="0"/>
                      <w:szCs w:val="21"/>
                      <w:lang w:bidi="ar"/>
                    </w:rPr>
                    <w:t>服务器授权</w:t>
                  </w:r>
                </w:p>
              </w:tc>
              <w:tc>
                <w:tcPr>
                  <w:tcW w:w="5225"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超融合软件永久授权（提供计算虚拟化、网络虚拟化、存储虚拟化软件，并支持信创服务器），提供原厂3年软件保修服务。</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提供超融合软件现场安装部署服务；</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超融合软件采用分布式架构，将所有节点的存储空间无缝融合为单一的存储池，数据采用元数据集中管理。</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支持兼容多种国产化CPU架构，以及适配每个架构至少三个不同品牌服务器硬件产品。</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支持结合两种或以上的虚拟化技术部署成超融合架构。</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提供两套管理平台，一主一备，两套管理平台应互相独立，但都能同时对超融合集群进行管理。</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支持以模板创建新虚拟机。在创建过程中，管理界面支持自定义客户机操作系统的主机名、默认用户密码、SSH公钥、IP地址、静态路由、DNS参数，无需手工进入虚拟机内部进行修改。</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支持虚拟机快速配置。从管理界面中直接修改虚拟机的内部客户机操作系统的IP地址、DNS地址、主机名、NTP服务器参数。</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支持在管理界面对虚拟机操作系统内任意账户的密码进行重置，无需输入旧密码即可重置新密码。</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支持CPU兼容性功能，针对VM粒度进行设置不同的vCPU型号，至少支持本次CPU 平台所对应的</w:t>
                  </w:r>
                  <w:r>
                    <w:rPr>
                      <w:rFonts w:ascii="仿宋" w:hAnsi="仿宋" w:eastAsia="仿宋"/>
                      <w:color w:val="auto"/>
                      <w:kern w:val="0"/>
                      <w:szCs w:val="21"/>
                      <w:lang w:bidi="ar"/>
                    </w:rPr>
                    <w:t>Opteron</w:t>
                  </w:r>
                  <w:r>
                    <w:rPr>
                      <w:rFonts w:hint="eastAsia" w:ascii="仿宋" w:hAnsi="仿宋" w:eastAsia="仿宋"/>
                      <w:color w:val="auto"/>
                      <w:kern w:val="0"/>
                      <w:szCs w:val="21"/>
                      <w:lang w:bidi="ar"/>
                    </w:rPr>
                    <w:t>、</w:t>
                  </w:r>
                  <w:r>
                    <w:rPr>
                      <w:rFonts w:ascii="仿宋" w:hAnsi="仿宋" w:eastAsia="仿宋"/>
                      <w:color w:val="auto"/>
                      <w:kern w:val="0"/>
                      <w:szCs w:val="21"/>
                      <w:lang w:bidi="ar"/>
                    </w:rPr>
                    <w:t>Dhyana</w:t>
                  </w:r>
                  <w:r>
                    <w:rPr>
                      <w:rFonts w:hint="eastAsia" w:ascii="仿宋" w:hAnsi="仿宋" w:eastAsia="仿宋"/>
                      <w:color w:val="auto"/>
                      <w:kern w:val="0"/>
                      <w:szCs w:val="21"/>
                      <w:lang w:bidi="ar"/>
                    </w:rPr>
                    <w:t>、</w:t>
                  </w:r>
                  <w:r>
                    <w:rPr>
                      <w:rFonts w:ascii="仿宋" w:hAnsi="仿宋" w:eastAsia="仿宋"/>
                      <w:color w:val="auto"/>
                      <w:kern w:val="0"/>
                      <w:szCs w:val="21"/>
                      <w:lang w:bidi="ar"/>
                    </w:rPr>
                    <w:t>EPYC</w:t>
                  </w:r>
                  <w:r>
                    <w:rPr>
                      <w:rFonts w:hint="eastAsia" w:ascii="仿宋" w:hAnsi="仿宋" w:eastAsia="仿宋"/>
                      <w:color w:val="auto"/>
                      <w:kern w:val="0"/>
                      <w:szCs w:val="21"/>
                      <w:lang w:bidi="ar"/>
                    </w:rPr>
                    <w:t>等型号，实现跨代CPU之间的虚拟机在线迁移。</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支持vHost技术，实现用户态进程间内存共享，优化数据复制效率（零拷贝），减少内核开销，提升I/O性能。</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支持以虚拟卷为单位进行2副本、3副本、纠删码的数据冗余配置。硬盘裸空间的有效利用率最高应不少于90%。</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支持机架级别的数据冗余功能，通过图形界面中在线调整节点所在的机架位置，可创建自定义的机箱和机架。后台自动根据拓扑重新分布副本位置，防止虚拟机的多个副本放置在同一机架空间内。</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支持对采用了精简置备策略的虚拟机，配合TRIM指令回收不再使用或已删除的存储空间。</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支持数据本地化，优先将虚拟机数据写入本地物理节点的磁盘上，当虚拟机迁移到任意物理节点，其数据也迁移到虚拟机所在物理节点的磁盘上。</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支持数据恢复速率静态调节，单台服务器的恢复速率应不少于1000MB/s，保证数据安全性。</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缓存常驻功能，通过管理界面设置缓存常驻功能在固态硬盘中的占用比例。开启功能后可指定虚拟卷固化在固态硬盘中，不会被交换至机械硬盘，确保关键虚拟卷性能，无需跨存储池迁移，避免虚拟机性能下降。</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支持对外提供iSCSI等存储协议，可允许外部客户端进行访问，并提供K8S CSI存储插件。</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支持在管理界面上对所有资源对象的统一模糊搜索。对象资源类型包含但不限于虚拟机、虚拟卷、模板、虚拟网络、主机、物理盘、网口、报警及报警规则、集群任务、ISO映像等，实现快速定位资源。</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 xml:space="preserve">支持资源分析能力，在管理界面中通过设定规则筛选出符合条件的虚拟机。可通过多个资源使用情况作为筛选条件，包括但不限于时间段、电源状态、每天累计读写 I/O、CPU使用率、内存使用率等。 </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支持监控统计报表功能。在单一页面中同时展示集群、主机、硬盘、虚拟机等监控数据，监控数据可保存6个月。监控数据可同时离线下载为CSV格式。</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支持在管理界面中一键收集日志文件，可自定义对象主机和时间长度，方便管理员进行故障排查。</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支持自动健康巡检，发现当前集群的风险和隐患。巡检任务可根据用户需求自定义巡检对象、巡检细项，以及将巡检报告离线下载保存。</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支持OpenAPI规范编写的通用API接口，方便与现有运维平台、云平台进行对接。且可提供JAVA、Python、GO等语言对应的SDK文件。</w:t>
                  </w:r>
                </w:p>
              </w:tc>
              <w:tc>
                <w:tcPr>
                  <w:tcW w:w="20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highlight w:val="yellow"/>
                    </w:rPr>
                  </w:pPr>
                  <w:r>
                    <w:rPr>
                      <w:rFonts w:hint="eastAsia" w:ascii="仿宋" w:hAnsi="仿宋" w:eastAsia="仿宋"/>
                      <w:b/>
                      <w:bCs/>
                      <w:color w:val="auto"/>
                      <w:kern w:val="0"/>
                      <w:szCs w:val="21"/>
                      <w:highlight w:val="yellow"/>
                      <w:lang w:bidi="ar"/>
                    </w:rPr>
                    <w:t>4套</w:t>
                  </w: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olor w:val="auto"/>
                      <w:kern w:val="0"/>
                      <w:szCs w:val="21"/>
                      <w:lang w:bidi="ar"/>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7"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b/>
                      <w:bCs/>
                      <w:color w:val="auto"/>
                      <w:kern w:val="0"/>
                      <w:szCs w:val="21"/>
                      <w:lang w:bidi="ar"/>
                    </w:rPr>
                  </w:pPr>
                  <w:bookmarkStart w:id="0" w:name="_Hlk207374755"/>
                  <w:r>
                    <w:rPr>
                      <w:rFonts w:hint="eastAsia" w:ascii="仿宋" w:hAnsi="仿宋" w:eastAsia="仿宋"/>
                      <w:b/>
                      <w:bCs/>
                      <w:color w:val="auto"/>
                      <w:kern w:val="0"/>
                      <w:szCs w:val="21"/>
                      <w:lang w:bidi="ar"/>
                    </w:rPr>
                    <w:t>超融合管理平台</w:t>
                  </w:r>
                </w:p>
              </w:tc>
              <w:tc>
                <w:tcPr>
                  <w:tcW w:w="5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管理平台永久许可。支持统一纳管，可对现有超融合集群以及新购超融合集群进行统一界面管理。</w:t>
                  </w:r>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auto"/>
                      <w:kern w:val="0"/>
                      <w:szCs w:val="21"/>
                      <w:lang w:bidi="ar"/>
                    </w:rPr>
                    <w:t>可支持实现多集群的虚拟机启动、关机、重启、快照、跨集群迁移等管理功能。</w:t>
                  </w:r>
                </w:p>
              </w:tc>
              <w:tc>
                <w:tcPr>
                  <w:tcW w:w="20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kern w:val="0"/>
                      <w:szCs w:val="21"/>
                      <w:lang w:bidi="ar"/>
                    </w:rPr>
                  </w:pPr>
                  <w:r>
                    <w:rPr>
                      <w:rFonts w:hint="eastAsia" w:ascii="仿宋" w:hAnsi="仿宋" w:eastAsia="仿宋"/>
                      <w:b/>
                      <w:bCs/>
                      <w:color w:val="auto"/>
                      <w:kern w:val="0"/>
                      <w:szCs w:val="21"/>
                      <w:lang w:bidi="ar"/>
                    </w:rPr>
                    <w:t>1</w:t>
                  </w:r>
                </w:p>
              </w:tc>
            </w:tr>
            <w:bookmarkEnd w:id="0"/>
            <w:tr>
              <w:tblPrEx>
                <w:tblCellMar>
                  <w:top w:w="0" w:type="dxa"/>
                  <w:left w:w="108" w:type="dxa"/>
                  <w:bottom w:w="0" w:type="dxa"/>
                  <w:right w:w="108" w:type="dxa"/>
                </w:tblCellMar>
              </w:tblPrEx>
              <w:trPr>
                <w:trHeight w:val="57"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szCs w:val="21"/>
                    </w:rPr>
                    <w:t>实施安装部署服务</w:t>
                  </w:r>
                </w:p>
              </w:tc>
              <w:tc>
                <w:tcPr>
                  <w:tcW w:w="5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r>
                    <w:rPr>
                      <w:rFonts w:hint="eastAsia" w:ascii="仿宋" w:hAnsi="仿宋" w:eastAsia="仿宋"/>
                      <w:color w:val="auto"/>
                      <w:szCs w:val="21"/>
                    </w:rPr>
                    <w:t>提供系统集成实施服务：提供项目产品规划设计与实施服务，提供项目设备上架和入网连接所需导轨、线缆、标签等。</w:t>
                  </w:r>
                </w:p>
              </w:tc>
              <w:tc>
                <w:tcPr>
                  <w:tcW w:w="20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kern w:val="0"/>
                      <w:szCs w:val="21"/>
                      <w:lang w:bidi="ar"/>
                    </w:rPr>
                  </w:pPr>
                  <w:r>
                    <w:rPr>
                      <w:rFonts w:hint="eastAsia" w:ascii="仿宋" w:hAnsi="仿宋" w:eastAsia="仿宋"/>
                      <w:b/>
                      <w:bCs/>
                      <w:color w:val="auto"/>
                      <w:kern w:val="0"/>
                      <w:szCs w:val="21"/>
                      <w:lang w:bidi="ar"/>
                    </w:rPr>
                    <w:t>1</w:t>
                  </w:r>
                </w:p>
              </w:tc>
            </w:tr>
            <w:tr>
              <w:tblPrEx>
                <w:tblCellMar>
                  <w:top w:w="0" w:type="dxa"/>
                  <w:left w:w="108" w:type="dxa"/>
                  <w:bottom w:w="0" w:type="dxa"/>
                  <w:right w:w="108" w:type="dxa"/>
                </w:tblCellMar>
              </w:tblPrEx>
              <w:trPr>
                <w:trHeight w:val="57" w:hRule="atLeast"/>
                <w:jc w:val="center"/>
              </w:trPr>
              <w:tc>
                <w:tcPr>
                  <w:tcW w:w="12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szCs w:val="21"/>
                    </w:rPr>
                    <w:t>数据迁移服务</w:t>
                  </w:r>
                </w:p>
              </w:tc>
              <w:tc>
                <w:tcPr>
                  <w:tcW w:w="52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r>
                    <w:rPr>
                      <w:rFonts w:hint="eastAsia" w:ascii="仿宋" w:hAnsi="仿宋" w:eastAsia="仿宋"/>
                      <w:color w:val="auto"/>
                      <w:szCs w:val="21"/>
                    </w:rPr>
                    <w:t>基于主流迁移工具，将客户现有虚拟化、超融合环境中的虚拟机迁移至新超融合系统，每个虚拟机停机时间应支持少于30分钟。</w:t>
                  </w:r>
                </w:p>
              </w:tc>
              <w:tc>
                <w:tcPr>
                  <w:tcW w:w="20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kern w:val="0"/>
                      <w:szCs w:val="21"/>
                      <w:lang w:bidi="ar"/>
                    </w:rPr>
                  </w:pPr>
                  <w:r>
                    <w:rPr>
                      <w:rFonts w:hint="eastAsia" w:ascii="仿宋" w:hAnsi="仿宋" w:eastAsia="仿宋"/>
                      <w:b/>
                      <w:bCs/>
                      <w:color w:val="auto"/>
                      <w:kern w:val="0"/>
                      <w:szCs w:val="21"/>
                      <w:lang w:bidi="ar"/>
                    </w:rPr>
                    <w:t>1</w:t>
                  </w:r>
                </w:p>
              </w:tc>
            </w:tr>
          </w:tbl>
          <w:p>
            <w:pPr>
              <w:spacing w:line="360" w:lineRule="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硬件设施要求</w:t>
            </w:r>
          </w:p>
        </w:tc>
        <w:tc>
          <w:tcPr>
            <w:tcW w:w="4079" w:type="pct"/>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本项目无硬件设备采购，超融合软件需要满足兼容以下服务器配置：</w:t>
            </w:r>
          </w:p>
          <w:p>
            <w:pPr>
              <w:jc w:val="left"/>
              <w:rPr>
                <w:rFonts w:ascii="仿宋_GB2312" w:hAnsi="仿宋_GB2312" w:eastAsia="仿宋_GB2312" w:cs="仿宋_GB2312"/>
                <w:color w:val="auto"/>
                <w:szCs w:val="21"/>
              </w:rPr>
            </w:pPr>
            <w:r>
              <w:rPr>
                <w:rFonts w:ascii="仿宋_GB2312" w:hAnsi="仿宋_GB2312" w:eastAsia="仿宋_GB2312" w:cs="仿宋_GB2312"/>
                <w:color w:val="auto"/>
                <w:szCs w:val="21"/>
              </w:rPr>
              <w:t>服务器</w:t>
            </w:r>
            <w:r>
              <w:rPr>
                <w:rFonts w:hint="eastAsia" w:ascii="仿宋_GB2312" w:hAnsi="仿宋_GB2312" w:eastAsia="仿宋_GB2312" w:cs="仿宋_GB2312"/>
                <w:color w:val="auto"/>
                <w:szCs w:val="21"/>
              </w:rPr>
              <w:t>：符合国产化、信创标准的</w:t>
            </w:r>
            <w:r>
              <w:rPr>
                <w:rFonts w:ascii="仿宋_GB2312" w:hAnsi="仿宋_GB2312" w:eastAsia="仿宋_GB2312" w:cs="仿宋_GB2312"/>
                <w:color w:val="auto"/>
                <w:szCs w:val="21"/>
              </w:rPr>
              <w:t xml:space="preserve">通用 </w:t>
            </w:r>
            <w:r>
              <w:rPr>
                <w:rFonts w:hint="eastAsia" w:ascii="仿宋_GB2312" w:hAnsi="仿宋_GB2312" w:eastAsia="仿宋_GB2312" w:cs="仿宋_GB2312"/>
                <w:color w:val="auto"/>
                <w:szCs w:val="21"/>
              </w:rPr>
              <w:t>C</w:t>
            </w:r>
            <w:r>
              <w:rPr>
                <w:rFonts w:ascii="仿宋_GB2312" w:hAnsi="仿宋_GB2312" w:eastAsia="仿宋_GB2312" w:cs="仿宋_GB2312"/>
                <w:color w:val="auto"/>
                <w:szCs w:val="21"/>
              </w:rPr>
              <w:t>86服务器。</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CPU</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至少 </w:t>
            </w:r>
            <w:r>
              <w:rPr>
                <w:rFonts w:hint="eastAsia" w:ascii="仿宋_GB2312" w:hAnsi="仿宋_GB2312" w:eastAsia="仿宋_GB2312" w:cs="仿宋_GB2312"/>
                <w:color w:val="auto"/>
                <w:szCs w:val="21"/>
              </w:rPr>
              <w:t>2</w:t>
            </w:r>
            <w:r>
              <w:rPr>
                <w:rFonts w:ascii="仿宋_GB2312" w:hAnsi="仿宋_GB2312" w:eastAsia="仿宋_GB2312" w:cs="仿宋_GB2312"/>
                <w:color w:val="auto"/>
                <w:szCs w:val="21"/>
              </w:rPr>
              <w:t xml:space="preserve"> 颗，</w:t>
            </w:r>
            <w:r>
              <w:rPr>
                <w:rFonts w:hint="eastAsia" w:ascii="仿宋_GB2312" w:hAnsi="仿宋_GB2312" w:eastAsia="仿宋_GB2312" w:cs="仿宋_GB2312"/>
                <w:color w:val="auto"/>
                <w:szCs w:val="21"/>
              </w:rPr>
              <w:t>核数</w:t>
            </w:r>
            <w:r>
              <w:rPr>
                <w:rFonts w:ascii="仿宋_GB2312" w:hAnsi="仿宋_GB2312" w:eastAsia="仿宋_GB2312" w:cs="仿宋_GB2312"/>
                <w:color w:val="auto"/>
                <w:szCs w:val="21"/>
              </w:rPr>
              <w:t>32</w:t>
            </w:r>
            <w:r>
              <w:rPr>
                <w:rFonts w:hint="eastAsia" w:ascii="仿宋_GB2312" w:hAnsi="仿宋_GB2312" w:eastAsia="仿宋_GB2312" w:cs="仿宋_GB2312"/>
                <w:color w:val="auto"/>
                <w:szCs w:val="21"/>
              </w:rPr>
              <w:t>C</w:t>
            </w:r>
            <w:r>
              <w:rPr>
                <w:rFonts w:ascii="仿宋_GB2312" w:hAnsi="仿宋_GB2312" w:eastAsia="仿宋_GB2312" w:cs="仿宋_GB2312"/>
                <w:color w:val="auto"/>
                <w:szCs w:val="21"/>
              </w:rPr>
              <w:t>ore</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主频 2.5 GHz 以上。</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内存</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512 GB 以上。</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存储控制器</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1 张 SAS HBA 卡或支持直通模式的 RAID 卡。</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SSD</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至少 </w:t>
            </w:r>
            <w:r>
              <w:rPr>
                <w:rFonts w:hint="eastAsia" w:ascii="仿宋_GB2312" w:hAnsi="仿宋_GB2312" w:eastAsia="仿宋_GB2312" w:cs="仿宋_GB2312"/>
                <w:color w:val="auto"/>
                <w:szCs w:val="21"/>
              </w:rPr>
              <w:t>2</w:t>
            </w:r>
            <w:r>
              <w:rPr>
                <w:rFonts w:ascii="仿宋_GB2312" w:hAnsi="仿宋_GB2312" w:eastAsia="仿宋_GB2312" w:cs="仿宋_GB2312"/>
                <w:color w:val="auto"/>
                <w:szCs w:val="21"/>
              </w:rPr>
              <w:t xml:space="preserve"> 块，单块容量 3.</w:t>
            </w:r>
            <w:r>
              <w:rPr>
                <w:rFonts w:hint="eastAsia" w:ascii="仿宋_GB2312" w:hAnsi="仿宋_GB2312" w:eastAsia="仿宋_GB2312" w:cs="仿宋_GB2312"/>
                <w:color w:val="auto"/>
                <w:szCs w:val="21"/>
                <w:lang w:val="en-US" w:eastAsia="zh-CN"/>
              </w:rPr>
              <w:t>84</w:t>
            </w:r>
            <w:r>
              <w:rPr>
                <w:rFonts w:ascii="仿宋_GB2312" w:hAnsi="仿宋_GB2312" w:eastAsia="仿宋_GB2312" w:cs="仿宋_GB2312"/>
                <w:color w:val="auto"/>
                <w:szCs w:val="21"/>
              </w:rPr>
              <w:t xml:space="preserve"> TB 以上。</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HDD</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至少 4 块，单块容量 </w:t>
            </w:r>
            <w:r>
              <w:rPr>
                <w:rFonts w:hint="eastAsia" w:ascii="仿宋_GB2312" w:hAnsi="仿宋_GB2312" w:eastAsia="仿宋_GB2312" w:cs="仿宋_GB2312"/>
                <w:color w:val="auto"/>
                <w:szCs w:val="21"/>
                <w:lang w:val="en-US" w:eastAsia="zh-CN"/>
              </w:rPr>
              <w:t>16</w:t>
            </w:r>
            <w:r>
              <w:rPr>
                <w:rFonts w:ascii="仿宋_GB2312" w:hAnsi="仿宋_GB2312" w:eastAsia="仿宋_GB2312" w:cs="仿宋_GB2312"/>
                <w:color w:val="auto"/>
                <w:szCs w:val="21"/>
              </w:rPr>
              <w:t xml:space="preserve"> TB 以上。</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启动盘</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至少 </w:t>
            </w:r>
            <w:r>
              <w:rPr>
                <w:rFonts w:hint="eastAsia" w:ascii="仿宋_GB2312" w:hAnsi="仿宋_GB2312" w:eastAsia="仿宋_GB2312" w:cs="仿宋_GB2312"/>
                <w:color w:val="auto"/>
                <w:szCs w:val="21"/>
              </w:rPr>
              <w:t>2</w:t>
            </w:r>
            <w:r>
              <w:rPr>
                <w:rFonts w:ascii="仿宋_GB2312" w:hAnsi="仿宋_GB2312" w:eastAsia="仿宋_GB2312" w:cs="仿宋_GB2312"/>
                <w:color w:val="auto"/>
                <w:szCs w:val="21"/>
              </w:rPr>
              <w:t xml:space="preserve"> 块，单块容量 480 GB 以上。</w:t>
            </w:r>
          </w:p>
          <w:p>
            <w:pPr>
              <w:jc w:val="left"/>
              <w:rPr>
                <w:rFonts w:hint="eastAsia" w:ascii="仿宋_GB2312" w:hAnsi="仿宋_GB2312" w:eastAsia="仿宋_GB2312" w:cs="仿宋_GB2312"/>
                <w:color w:val="auto"/>
                <w:szCs w:val="21"/>
              </w:rPr>
            </w:pPr>
            <w:r>
              <w:rPr>
                <w:rFonts w:ascii="仿宋_GB2312" w:hAnsi="仿宋_GB2312" w:eastAsia="仿宋_GB2312" w:cs="仿宋_GB2312"/>
                <w:color w:val="auto"/>
                <w:szCs w:val="21"/>
              </w:rPr>
              <w:t>网</w:t>
            </w:r>
            <w:r>
              <w:rPr>
                <w:rFonts w:hint="eastAsia" w:ascii="仿宋_GB2312" w:hAnsi="仿宋_GB2312" w:eastAsia="仿宋_GB2312" w:cs="仿宋_GB2312"/>
                <w:color w:val="auto"/>
                <w:szCs w:val="21"/>
              </w:rPr>
              <w:t>口：</w:t>
            </w:r>
            <w:r>
              <w:rPr>
                <w:rFonts w:ascii="仿宋_GB2312" w:hAnsi="仿宋_GB2312" w:eastAsia="仿宋_GB2312" w:cs="仿宋_GB2312"/>
                <w:color w:val="auto"/>
                <w:szCs w:val="21"/>
              </w:rPr>
              <w:t xml:space="preserve">至少 </w:t>
            </w:r>
            <w:r>
              <w:rPr>
                <w:rFonts w:hint="eastAsia" w:ascii="仿宋_GB2312" w:hAnsi="仿宋_GB2312" w:eastAsia="仿宋_GB2312" w:cs="仿宋_GB2312"/>
                <w:color w:val="auto"/>
                <w:szCs w:val="21"/>
                <w:lang w:val="en-US" w:eastAsia="zh-CN"/>
              </w:rPr>
              <w:t>8</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个</w:t>
            </w:r>
            <w:r>
              <w:rPr>
                <w:rFonts w:ascii="仿宋_GB2312" w:hAnsi="仿宋_GB2312" w:eastAsia="仿宋_GB2312" w:cs="仿宋_GB2312"/>
                <w:color w:val="auto"/>
                <w:szCs w:val="21"/>
              </w:rPr>
              <w:t xml:space="preserve">1 GbE 和 4 </w:t>
            </w:r>
            <w:r>
              <w:rPr>
                <w:rFonts w:hint="eastAsia" w:ascii="仿宋_GB2312" w:hAnsi="仿宋_GB2312" w:eastAsia="仿宋_GB2312" w:cs="仿宋_GB2312"/>
                <w:color w:val="auto"/>
                <w:szCs w:val="21"/>
              </w:rPr>
              <w:t>个</w:t>
            </w:r>
            <w:r>
              <w:rPr>
                <w:rFonts w:ascii="仿宋_GB2312" w:hAnsi="仿宋_GB2312" w:eastAsia="仿宋_GB2312" w:cs="仿宋_GB2312"/>
                <w:color w:val="auto"/>
                <w:szCs w:val="21"/>
              </w:rPr>
              <w:t xml:space="preserve"> 10</w:t>
            </w:r>
            <w:r>
              <w:rPr>
                <w:rFonts w:hint="eastAsia" w:ascii="仿宋_GB2312" w:hAnsi="仿宋_GB2312" w:eastAsia="仿宋_GB2312" w:cs="仿宋_GB2312"/>
                <w:color w:val="auto"/>
                <w:szCs w:val="21"/>
                <w:lang w:val="en-US" w:eastAsia="zh-CN"/>
              </w:rPr>
              <w:t>/25</w:t>
            </w:r>
            <w:r>
              <w:rPr>
                <w:rFonts w:ascii="仿宋_GB2312" w:hAnsi="仿宋_GB2312" w:eastAsia="仿宋_GB2312" w:cs="仿宋_GB2312"/>
                <w:color w:val="auto"/>
                <w:szCs w:val="21"/>
              </w:rPr>
              <w:t xml:space="preserve"> GbE。</w:t>
            </w:r>
          </w:p>
        </w:tc>
      </w:tr>
    </w:tbl>
    <w:p>
      <w:pPr>
        <w:rPr>
          <w:rFonts w:hint="eastAsia" w:ascii="仿宋_GB2312" w:hAnsi="仿宋_GB2312" w:eastAsia="仿宋_GB2312" w:cs="仿宋_GB2312"/>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5D6E1313-D77F-4AEE-BDBD-ACA4FD65D821}"/>
  </w:font>
  <w:font w:name="仿宋_GB2312">
    <w:panose1 w:val="02010609030101010101"/>
    <w:charset w:val="86"/>
    <w:family w:val="modern"/>
    <w:pitch w:val="default"/>
    <w:sig w:usb0="00000001" w:usb1="080E0000" w:usb2="00000000" w:usb3="00000000" w:csb0="00040000" w:csb1="00000000"/>
    <w:embedRegular r:id="rId2" w:fontKey="{6CB61AE3-7D9D-4572-861B-BA94538D0C77}"/>
  </w:font>
  <w:font w:name="仿宋">
    <w:panose1 w:val="02010609060101010101"/>
    <w:charset w:val="86"/>
    <w:family w:val="modern"/>
    <w:pitch w:val="default"/>
    <w:sig w:usb0="800002BF" w:usb1="38CF7CFA" w:usb2="00000016" w:usb3="00000000" w:csb0="00040001" w:csb1="00000000"/>
    <w:embedRegular r:id="rId3" w:fontKey="{5431B8C7-0776-49E6-97A6-C470C67605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5C2BD"/>
    <w:multiLevelType w:val="singleLevel"/>
    <w:tmpl w:val="9975C2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04"/>
    <w:rsid w:val="000A7758"/>
    <w:rsid w:val="000C235D"/>
    <w:rsid w:val="0010515E"/>
    <w:rsid w:val="00110A6A"/>
    <w:rsid w:val="001306F3"/>
    <w:rsid w:val="002775D0"/>
    <w:rsid w:val="0029525C"/>
    <w:rsid w:val="002B16BB"/>
    <w:rsid w:val="002B3848"/>
    <w:rsid w:val="002E26AB"/>
    <w:rsid w:val="0035796D"/>
    <w:rsid w:val="00392202"/>
    <w:rsid w:val="003F5261"/>
    <w:rsid w:val="003F6645"/>
    <w:rsid w:val="00434029"/>
    <w:rsid w:val="00457BC1"/>
    <w:rsid w:val="004C0376"/>
    <w:rsid w:val="004C7884"/>
    <w:rsid w:val="004F0C01"/>
    <w:rsid w:val="0062536D"/>
    <w:rsid w:val="00663F69"/>
    <w:rsid w:val="00687AAC"/>
    <w:rsid w:val="00733E34"/>
    <w:rsid w:val="00733E65"/>
    <w:rsid w:val="00746B0B"/>
    <w:rsid w:val="00783CAB"/>
    <w:rsid w:val="007A16B8"/>
    <w:rsid w:val="007B1EE3"/>
    <w:rsid w:val="007E2E9E"/>
    <w:rsid w:val="007F3D04"/>
    <w:rsid w:val="00855E36"/>
    <w:rsid w:val="00881CFA"/>
    <w:rsid w:val="008E703A"/>
    <w:rsid w:val="009E6FA3"/>
    <w:rsid w:val="00A235DB"/>
    <w:rsid w:val="00A30BCC"/>
    <w:rsid w:val="00A37A3F"/>
    <w:rsid w:val="00AA2BAE"/>
    <w:rsid w:val="00AB7A81"/>
    <w:rsid w:val="00AD474E"/>
    <w:rsid w:val="00B3347E"/>
    <w:rsid w:val="00B9490F"/>
    <w:rsid w:val="00BC1837"/>
    <w:rsid w:val="00BD5C7B"/>
    <w:rsid w:val="00C77E87"/>
    <w:rsid w:val="00C8701C"/>
    <w:rsid w:val="00CD1532"/>
    <w:rsid w:val="00CD6E2D"/>
    <w:rsid w:val="00CF75C8"/>
    <w:rsid w:val="00D03834"/>
    <w:rsid w:val="00D20A56"/>
    <w:rsid w:val="00D25BCB"/>
    <w:rsid w:val="00D907E2"/>
    <w:rsid w:val="00DB47E3"/>
    <w:rsid w:val="00DC5571"/>
    <w:rsid w:val="00E873D7"/>
    <w:rsid w:val="00F3008E"/>
    <w:rsid w:val="00F356C0"/>
    <w:rsid w:val="00F71DF7"/>
    <w:rsid w:val="00FB3C19"/>
    <w:rsid w:val="00FD2776"/>
    <w:rsid w:val="024F00AA"/>
    <w:rsid w:val="06981557"/>
    <w:rsid w:val="08A15A3A"/>
    <w:rsid w:val="0D187F42"/>
    <w:rsid w:val="0DBF2F70"/>
    <w:rsid w:val="192D5062"/>
    <w:rsid w:val="1D6B4069"/>
    <w:rsid w:val="499F3B15"/>
    <w:rsid w:val="4DD802BF"/>
    <w:rsid w:val="4E1C1427"/>
    <w:rsid w:val="4FDF70B3"/>
    <w:rsid w:val="58F130E8"/>
    <w:rsid w:val="61A00737"/>
    <w:rsid w:val="658A40FF"/>
    <w:rsid w:val="69EA5DD9"/>
    <w:rsid w:val="6B705AE9"/>
    <w:rsid w:val="6DE03A44"/>
    <w:rsid w:val="744C6EF2"/>
    <w:rsid w:val="782C0AC3"/>
    <w:rsid w:val="790A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spacing w:line="240" w:lineRule="auto"/>
      <w:jc w:val="left"/>
    </w:pPr>
    <w:rPr>
      <w:sz w:val="18"/>
      <w:szCs w:val="18"/>
    </w:rPr>
  </w:style>
  <w:style w:type="paragraph" w:styleId="5">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Calibri" w:hAnsi="Calibri"/>
      <w:kern w:val="2"/>
      <w:sz w:val="18"/>
      <w:szCs w:val="18"/>
    </w:rPr>
  </w:style>
  <w:style w:type="character" w:customStyle="1" w:styleId="11">
    <w:name w:val="页脚 字符"/>
    <w:basedOn w:val="9"/>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szCs w:val="22"/>
    </w:rPr>
  </w:style>
  <w:style w:type="character" w:customStyle="1" w:styleId="13">
    <w:name w:val="标题 2 字符"/>
    <w:basedOn w:val="9"/>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33C58-F94A-498F-86C1-857EDF51D2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5237</Words>
  <Characters>5557</Characters>
  <Lines>41</Lines>
  <Paragraphs>11</Paragraphs>
  <TotalTime>8</TotalTime>
  <ScaleCrop>false</ScaleCrop>
  <LinksUpToDate>false</LinksUpToDate>
  <CharactersWithSpaces>5638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2025-09-12T06:24:00Z</dcterms:created>
  <dc:creator>Administrator</dc:creator>
  <cp:lastModifiedBy>刘汝彬</cp:lastModifiedBy>
  <cp:lastPrinted>2025-06-22T06:29:00Z</cp:lastPrinted>
  <dcterms:modified xsi:type="dcterms:W3CDTF">2025-11-04T12:36:00Z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eyJoZGlkIjoiYTBmYzI5NGI3YjFhNjkxZjAxYWZkYTcwMzZjOWU5ZTIiLCJ1c2VySWQiOiI0MTgwNTU5MjgifQ==</vt:lpwstr>
  </property>
  <property fmtid="{D5CDD505-2E9C-101B-9397-08002B2CF9AE}" pid="4" name="ICV">
    <vt:lpwstr>2957CFF4630444028765A016A79FA705_13</vt:lpwstr>
  </property>
</Properties>
</file>